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Software Requirements Specification (SRS)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Data Dokumen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ID pesanan</w:t>
            </w:r>
          </w:p>
        </w:tc>
        <w:tc>
          <w:tcPr>
            <w:tcW w:type="dxa" w:w="6552"/>
            <w:vAlign w:val="center"/>
          </w:tcPr>
          <w:p>
            <w:r>
              <w:t>[IBD-...]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Versi spesifikasi</w:t>
            </w:r>
          </w:p>
        </w:tc>
        <w:tc>
          <w:tcPr>
            <w:tcW w:type="dxa" w:w="6552"/>
            <w:vAlign w:val="center"/>
          </w:tcPr>
          <w:p>
            <w:r>
              <w:t>[v1.0]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Status</w:t>
            </w:r>
          </w:p>
        </w:tc>
        <w:tc>
          <w:tcPr>
            <w:tcW w:type="dxa" w:w="6552"/>
            <w:vAlign w:val="center"/>
          </w:tcPr>
          <w:p>
            <w:r>
              <w:t>[Draf / Ditinjau / Disetujui]</w:t>
            </w:r>
          </w:p>
        </w:tc>
      </w:tr>
    </w:tbl>
    <w:p>
      <w:pPr>
        <w:pStyle w:val="Heading1"/>
      </w:pPr>
      <w:r>
        <w:t>Deskripsi Sistem</w:t>
      </w:r>
    </w:p>
    <w:p>
      <w:pPr>
        <w:pStyle w:val="ListBullet"/>
      </w:pPr>
      <w:r>
        <w:t>Tujuan sistem</w:t>
      </w:r>
    </w:p>
    <w:p>
      <w:pPr>
        <w:pStyle w:val="ListBullet"/>
      </w:pPr>
      <w:r>
        <w:t>Peran/role pengguna</w:t>
      </w:r>
    </w:p>
    <w:p>
      <w:pPr>
        <w:pStyle w:val="ListBullet"/>
      </w:pPr>
      <w:r>
        <w:t>Lingkungan dan batasan teknis</w:t>
      </w:r>
    </w:p>
    <w:p>
      <w:pPr>
        <w:pStyle w:val="Heading1"/>
      </w:pPr>
      <w:r>
        <w:t>Kebutuhan Fungsional</w:t>
      </w:r>
    </w:p>
    <w:p>
      <w:pPr>
        <w:pStyle w:val="ListBullet"/>
      </w:pPr>
      <w:r>
        <w:t>FR-001: [Deskripsi tindakan, input, output, dan aturan]</w:t>
      </w:r>
    </w:p>
    <w:p>
      <w:pPr>
        <w:pStyle w:val="ListBullet"/>
      </w:pPr>
      <w:r>
        <w:t>FR-002: [Deskripsi tindakan, input, output, dan aturan]</w:t>
      </w:r>
    </w:p>
    <w:p>
      <w:pPr>
        <w:pStyle w:val="Heading1"/>
      </w:pPr>
      <w:r>
        <w:t>Kebutuhan Nonfungsional</w:t>
      </w:r>
    </w:p>
    <w:p>
      <w:pPr>
        <w:pStyle w:val="ListBullet"/>
      </w:pPr>
      <w:r>
        <w:t>Keamanan &amp; hak akses</w:t>
      </w:r>
    </w:p>
    <w:p>
      <w:pPr>
        <w:pStyle w:val="ListBullet"/>
      </w:pPr>
      <w:r>
        <w:t>Kinerja &amp; kapasitas</w:t>
      </w:r>
    </w:p>
    <w:p>
      <w:pPr>
        <w:pStyle w:val="ListBullet"/>
      </w:pPr>
      <w:r>
        <w:t>Kompatibilitas perangkat</w:t>
      </w:r>
    </w:p>
    <w:p>
      <w:pPr>
        <w:pStyle w:val="ListBullet"/>
      </w:pPr>
      <w:r>
        <w:t>Backup dan ketersediaan</w:t>
      </w:r>
    </w:p>
    <w:p>
      <w:pPr>
        <w:pStyle w:val="Heading1"/>
      </w:pPr>
      <w:r>
        <w:t>Integrasi dan Data</w:t>
      </w:r>
    </w:p>
    <w:p>
      <w:pPr>
        <w:pStyle w:val="ListBullet"/>
      </w:pPr>
      <w:r>
        <w:t>Struktur data utama</w:t>
      </w:r>
    </w:p>
    <w:p>
      <w:pPr>
        <w:pStyle w:val="ListBullet"/>
      </w:pPr>
      <w:r>
        <w:t>Integrasi pihak ketiga dan tanggung jawab biaya</w:t>
      </w:r>
    </w:p>
    <w:p>
      <w:pPr>
        <w:pStyle w:val="Heading1"/>
      </w:pPr>
      <w:r>
        <w:t>Verifikasi Kebutuhan</w:t>
      </w:r>
    </w:p>
    <w:p>
      <w:pPr>
        <w:pStyle w:val="ListBullet"/>
      </w:pPr>
      <w:r>
        <w:t>Cara menguji tiap FR</w:t>
      </w:r>
    </w:p>
    <w:p>
      <w:pPr>
        <w:pStyle w:val="ListBullet"/>
      </w:pPr>
      <w:r>
        <w:t>Persetujuan klien dan pengembang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