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Scope of Work (SOW)</w:t>
      </w:r>
    </w:p>
    <w:p>
      <w:r>
        <w:rPr>
          <w:i/>
          <w:sz w:val="16"/>
        </w:rPr>
        <w:t>Template kerja | Isi bagian bertanda [ ... ] dan sesuaikan dengan penawaran serta kesepakatan proyek.</w:t>
      </w:r>
    </w:p>
    <w:p>
      <w:r>
        <w:t>Status: DRAF    |    ID Pesanan: [IBD-...]    |    Tanggal: [DD/MM/YYYY]</w:t>
      </w:r>
    </w:p>
    <w:p>
      <w:pPr>
        <w:pStyle w:val="Heading1"/>
      </w:pPr>
      <w:r>
        <w:t>Informasi Kontrak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096"/>
            <w:vAlign w:val="center"/>
            <w:shd w:fill="EAF1FC"/>
          </w:tcPr>
          <w:p>
            <w:r>
              <w:t>Nomor pesanan</w:t>
            </w:r>
          </w:p>
        </w:tc>
        <w:tc>
          <w:tcPr>
            <w:tcW w:type="dxa" w:w="6552"/>
            <w:vAlign w:val="center"/>
          </w:tcPr>
          <w:p>
            <w:r>
              <w:t>[IBD-...]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Referensi perjanjian</w:t>
            </w:r>
          </w:p>
        </w:tc>
        <w:tc>
          <w:tcPr>
            <w:tcW w:type="dxa" w:w="6552"/>
            <w:vAlign w:val="center"/>
          </w:tcPr>
          <w:p>
            <w:r>
              <w:t>[Versi/hash]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Harga dan mata uang</w:t>
            </w:r>
          </w:p>
        </w:tc>
        <w:tc>
          <w:tcPr>
            <w:tcW w:type="dxa" w:w="6552"/>
            <w:vAlign w:val="center"/>
          </w:tcPr>
          <w:p>
            <w:r>
              <w:t>[Nilai disetujui]</w:t>
            </w:r>
          </w:p>
        </w:tc>
      </w:tr>
    </w:tbl>
    <w:p>
      <w:pPr>
        <w:pStyle w:val="Heading1"/>
      </w:pPr>
      <w:r>
        <w:t>Yang Termasuk</w:t>
      </w:r>
    </w:p>
    <w:p>
      <w:pPr>
        <w:pStyle w:val="ListBullet"/>
      </w:pPr>
      <w:r>
        <w:t>Deliverable yang akan dibuat</w:t>
      </w:r>
    </w:p>
    <w:p>
      <w:pPr>
        <w:pStyle w:val="ListBullet"/>
      </w:pPr>
      <w:r>
        <w:t>Fitur dalam lingkup, dirujuk ke BRD/SRS</w:t>
      </w:r>
    </w:p>
    <w:p>
      <w:pPr>
        <w:pStyle w:val="ListBullet"/>
      </w:pPr>
      <w:r>
        <w:t>Jumlah halaman/platform, browser atau perangkat</w:t>
      </w:r>
    </w:p>
    <w:p>
      <w:pPr>
        <w:pStyle w:val="Heading1"/>
      </w:pPr>
      <w:r>
        <w:t>Yang Tidak Termasuk</w:t>
      </w:r>
    </w:p>
    <w:p>
      <w:pPr>
        <w:pStyle w:val="ListBullet"/>
      </w:pPr>
      <w:r>
        <w:t>Hosting/domain berulang, biaya API pihak ketiga, penginputan konten, integrasi di luar daftar</w:t>
      </w:r>
    </w:p>
    <w:p>
      <w:pPr>
        <w:pStyle w:val="Heading1"/>
      </w:pPr>
      <w:r>
        <w:t>Milestone &amp; Penerimaan</w:t>
      </w:r>
    </w:p>
    <w:p>
      <w:pPr>
        <w:pStyle w:val="ListBullet"/>
      </w:pPr>
      <w:r>
        <w:t>Tahap, target, output dan penanggung jawab persetujuan</w:t>
      </w:r>
    </w:p>
    <w:p>
      <w:pPr>
        <w:pStyle w:val="ListBullet"/>
      </w:pPr>
      <w:r>
        <w:t>Kriteria selesai tiap tahap dan UAT</w:t>
      </w:r>
    </w:p>
    <w:p>
      <w:pPr>
        <w:pStyle w:val="Heading1"/>
      </w:pPr>
      <w:r>
        <w:t>Perubahan dan Revisi</w:t>
      </w:r>
    </w:p>
    <w:p>
      <w:pPr>
        <w:pStyle w:val="ListBullet"/>
      </w:pPr>
      <w:r>
        <w:t>Jumlah putaran revisi, jangka waktu tanggapan</w:t>
      </w:r>
    </w:p>
    <w:p>
      <w:pPr>
        <w:pStyle w:val="ListBullet"/>
      </w:pPr>
      <w:r>
        <w:t>Prosedur Change Request dan biaya tambahan</w:t>
      </w:r>
    </w:p>
    <w:p>
      <w:pPr>
        <w:pStyle w:val="Heading1"/>
      </w:pPr>
      <w:r>
        <w:t>Pembayaran</w:t>
      </w:r>
    </w:p>
    <w:p>
      <w:pPr>
        <w:pStyle w:val="ListBullet"/>
      </w:pPr>
      <w:r>
        <w:t>DP 30%/50% atau lunas</w:t>
      </w:r>
    </w:p>
    <w:p>
      <w:pPr>
        <w:pStyle w:val="ListBullet"/>
      </w:pPr>
      <w:r>
        <w:t>Ketentuan pelunasan dan serah terima</w:t>
      </w:r>
    </w:p>
    <w:p>
      <w:pPr>
        <w:pStyle w:val="Heading1"/>
      </w:pPr>
      <w:r>
        <w:t>Pengesahan</w:t>
      </w:r>
    </w:p>
    <w:p>
      <w:pPr>
        <w:pStyle w:val="ListBullet"/>
      </w:pPr>
      <w:r>
        <w:t>Diperiksa pihak penyedia</w:t>
      </w:r>
    </w:p>
    <w:p>
      <w:pPr>
        <w:pStyle w:val="ListBullet"/>
      </w:pPr>
      <w:r>
        <w:t>Diperiksa klien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ibda studio • Dokumen templat internal / belum disetujui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3A66B5"/>
      </w:rPr>
      <w:t>ibda studio  /  PROJECT DELIVERY DOCUMENTS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934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F8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A3F8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